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070"/>
        <w:gridCol w:w="5880"/>
        <w:tblGridChange w:id="0">
          <w:tblGrid>
            <w:gridCol w:w="2910"/>
            <w:gridCol w:w="2070"/>
            <w:gridCol w:w="58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четверг, 18.02.2021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с подг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“Свадьба Фигаро” (послушать всю оперу, глядя в клавир; играть основные темы из учебника).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интернет-ресурсы: Ассамблеи Петра I, их влияние на развитие сценической хореографии.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Островский № 196, 220, 223, упражнения 1 (1-7) на стр. 111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тональностях фа мажор и ми мажор петь главные 53 с обращениями (T, S, D) и гармонические обороты: T-S64-T, T-D6-T, T-D64-T6, T6-S-D64-T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Cпособин № 3 - один голос играть, другой петь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 (цели, задачи)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Чисталев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Чисталев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35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Калядина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8">
      <w:pPr>
        <w:spacing w:after="0" w:before="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JXf4EdTPwgu0uVGXxpgZ7BaMw==">AMUW2mVsqbxAy7Gt9nhgkI0hpucIrOlxzX8mhWEwybKJ/6SUPIVRiEbcSKAkV33L4E/tzl7xOA5+Po6nth3t4DD3PsJuB3dBP9R7tzy2a5oAnuLilz1qWdY5kyTBQqV8sWBc17pYy8U+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