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325"/>
        <w:gridCol w:w="5355"/>
        <w:tblGridChange w:id="0">
          <w:tblGrid>
            <w:gridCol w:w="3255"/>
            <w:gridCol w:w="2325"/>
            <w:gridCol w:w="53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215-219(I), 31,32(I)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3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Оперное творчество Моцарта; принципы его оперной реформы; общая характеристика “Свадьбы Фигаро.”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Послушать, глядя в ноты, первое действие оперы “Свадьба Фигаро”.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Подготовиться к викторине по 40 симфонии Моцарта.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5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биографию В. А. Моцарта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“Свадьба Фигаро” (I, II действия)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Репертуар к концерту на 26 марта.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с подг.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жанр в творчестве передвижников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Василий Суриков / Передвижники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без подг.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Репертуар к концерту на 26 марта.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J6MHm0jMK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WegrzNucZ24HZRwn3Coef7Deg==">AMUW2mXLOMqLYVdA6TTrJNbuGOpUhHsKaoLLRV4m9Ze6eLEvYYFEfKBkTJ3bvefqLCdgH3FqoF/evTX+W11lik0OuZ4Ds/V/zq+BvvgEEnAAVlt0Tw7uMzc=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