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2250"/>
        <w:gridCol w:w="6510"/>
        <w:tblGridChange w:id="0">
          <w:tblGrid>
            <w:gridCol w:w="2460"/>
            <w:gridCol w:w="2250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прежнее.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 опросу по теме: Лирические, протяжные песни. Знать их наизусть.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Русская народная инструментальная музыка; Русские народные музыкальные инструменты.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муз.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 опросу по теме: Лирические, протяжные песни. Знать их наизусть.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Русская народная инструментальная музыка; Русские народные музыкальные инструменты.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текст: Образ Савелия, богатыря святорусского.</w:t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0SVNwJ1ZiqpNn8cv+Nj0Xi53Q==">AMUW2mVZDAVt6DLiCpaSqnAw0adE1BsFc6bosMfGQiT+GU4YNPmAtNGTSp1V9QfN8WEqwfsVUn8DDelbGPUWHxGNG2MwUYw23/JFinVkJyelcJsmkzk8SBIE6pIC465DfmmrM2hXlU0m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