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20"/>
        <w:tblGridChange w:id="0">
          <w:tblGrid>
            <w:gridCol w:w="2970"/>
            <w:gridCol w:w="2415"/>
            <w:gridCol w:w="55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03.02.2021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Главные септаккорды в тональности.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Игра оборотов.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Изуч. музыковедческой литературы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Моисеевич О.А.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Создать список книг о Бахе с библиографическими данными и кратким содержанием.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стр. 225-233 (МЛЗС вып. 2)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7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C9rTe2dzv/XGRWZ4AaRz9mSVbg==">AMUW2mW+nixer+/ykErDYBX/YTdxuq4C7UjMJJAc2bcnVgHsTiWH0Mdbg3rhGey3QwK/N2HqVRrc7S3YAluixWwqRBfsqGRlzWuNYOtmgBBMwuwPaKP4rfs=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