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30"/>
        <w:gridCol w:w="5475"/>
        <w:tblGridChange w:id="0">
          <w:tblGrid>
            <w:gridCol w:w="2970"/>
            <w:gridCol w:w="2430"/>
            <w:gridCol w:w="547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12.11.2020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 централизованных государств в Европе в XIV-XV вв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тему “Классицизм”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Теле-радио журналистика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Сбор и систематизация материала по истории теоретического отделения.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Трио Глинки сдать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Кириллова - цифровки на стр.98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№178, №179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Маслёнкова №175, №176 наизусть в транспорте.</w:t>
            </w:r>
          </w:p>
        </w:tc>
      </w:tr>
    </w:tbl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311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pV26+rHoA5JOAiIsAD7B1tghw==">AMUW2mUajKqeVg7kvFa+rB5imYJspbyqp/GnESE1SZnLjReK1CIcgr+YbJdDfc3L4ijxygYU+hxPjViaCB0JvVQ5MYjkUNc3D4sdG6qPrMJ2n4Ludunm3Vg=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