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5820"/>
        <w:tblGridChange w:id="0">
          <w:tblGrid>
            <w:gridCol w:w="2970"/>
            <w:gridCol w:w="21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05.11.2020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Дмитрий Донской. Куликовская битва 1380г.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05.11.20 остаётся. К нему добавляется задание на 12.11.20: из темы “Диссонирующие и консонирующие интервалы” упражнения на фортепиано 5, 6, 9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Оставлено задание на 05.11.20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 Сущность процесса обучения, его функции, движущие силы, звенья, структура.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https://yadi.sk/d/Hyjdm9II79_kCw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Перестройка. Внутренняя и внешняя политика государства 1985-1991гг.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Лекция: Развитие муз. мышления при работе над крупной формой(конспект, примеры муз. произведений)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Лекция: Развитие муз. мышления при работе над крупной формой(конспект, примеры муз. произведений)</w:t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работы правой руки при различных туше(конспект, примеры муз. произведений)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форм, производных от простых, и сложной 2-х частной. Глинка. Романсы “Уснули голубые”, “Болеро”. Бородин. Романс “Спящая княжна”. Делиб. Балет “Коппелия”. Чардаш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Hyjdm9II79_k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tUv/gvBzj1gXrEI3vggIDSAjQ==">AMUW2mXd0B9lQviyN+dWWKA1bvZq70/MKuzdQ1f4kDVIsDurfz0jcWAPgrBofKq0Ru+9yKLWVONESAWJPRzQ1LJQHM1dd1KxTKVwt7sRqOQHTW2AcK3yw4I=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